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EC6E59" w14:textId="77777777" w:rsidR="005F05A3" w:rsidRDefault="005F05A3" w:rsidP="005F05A3">
      <w:pPr>
        <w:ind w:firstLine="482"/>
        <w:rPr>
          <w:rFonts w:cs="Times New Roman"/>
          <w:b/>
          <w:bCs/>
          <w:sz w:val="24"/>
          <w:szCs w:val="24"/>
        </w:rPr>
      </w:pPr>
      <w:r w:rsidRPr="005F05A3">
        <w:rPr>
          <w:rFonts w:cs="Times New Roman"/>
          <w:b/>
          <w:bCs/>
          <w:sz w:val="24"/>
          <w:szCs w:val="24"/>
        </w:rPr>
        <w:t>Supplementary</w:t>
      </w:r>
      <w:r w:rsidRPr="004F2189">
        <w:rPr>
          <w:rFonts w:cs="Times New Roman" w:hint="eastAsia"/>
          <w:b/>
          <w:bCs/>
          <w:sz w:val="24"/>
          <w:szCs w:val="24"/>
        </w:rPr>
        <w:t xml:space="preserve"> figure</w:t>
      </w:r>
      <w:r>
        <w:rPr>
          <w:rFonts w:cs="Times New Roman"/>
          <w:b/>
          <w:bCs/>
          <w:sz w:val="24"/>
          <w:szCs w:val="24"/>
        </w:rPr>
        <w:t>s</w:t>
      </w:r>
    </w:p>
    <w:p w14:paraId="25523263" w14:textId="77777777" w:rsidR="005F05A3" w:rsidRPr="004F2189" w:rsidRDefault="005F05A3" w:rsidP="005F05A3">
      <w:pPr>
        <w:ind w:firstLine="482"/>
        <w:rPr>
          <w:rFonts w:cs="Times New Roman"/>
          <w:b/>
          <w:bCs/>
          <w:sz w:val="24"/>
          <w:szCs w:val="24"/>
        </w:rPr>
      </w:pPr>
    </w:p>
    <w:p w14:paraId="5D63C293" w14:textId="6A37C1E2" w:rsidR="005F05A3" w:rsidRPr="004F2189" w:rsidRDefault="00DE653A" w:rsidP="005F05A3">
      <w:pPr>
        <w:pStyle w:val="Figure"/>
      </w:pPr>
      <w:r>
        <w:rPr>
          <w:noProof/>
        </w:rPr>
        <w:drawing>
          <wp:inline distT="0" distB="0" distL="0" distR="0" wp14:anchorId="5ED742E7" wp14:editId="74F87A34">
            <wp:extent cx="6479540" cy="5390592"/>
            <wp:effectExtent l="0" t="0" r="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5390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C6D99" w14:textId="28F837D2" w:rsidR="005F05A3" w:rsidRDefault="005F05A3" w:rsidP="005F05A3">
      <w:pPr>
        <w:pStyle w:val="Figurecaption"/>
      </w:pPr>
      <w:r w:rsidRPr="005F05A3">
        <w:rPr>
          <w:b/>
        </w:rPr>
        <w:t>Supplementary Fig. 1. MTCH2 overexpression enhances cell viability, colony formation, migration, and invasion in T98G glioma cells.</w:t>
      </w:r>
      <w:r>
        <w:rPr>
          <w:b/>
        </w:rPr>
        <w:t xml:space="preserve"> </w:t>
      </w:r>
      <w:r>
        <w:t>(A)</w:t>
      </w:r>
      <w:r w:rsidRPr="004F2189">
        <w:t xml:space="preserve"> qPCR analysis shows the relative expression of MTCH2 mRNA after overexpression in T98G glioma cells.</w:t>
      </w:r>
      <w:r>
        <w:t xml:space="preserve"> (B)</w:t>
      </w:r>
      <w:r w:rsidRPr="004F2189">
        <w:t xml:space="preserve"> Western blot analysis indicates that MTCH2 protein levels are significantly higher in the MTCH2 overexpression group compared to the control in T98G cells.</w:t>
      </w:r>
      <w:r>
        <w:t xml:space="preserve"> (C)</w:t>
      </w:r>
      <w:r w:rsidRPr="004F2189">
        <w:t xml:space="preserve"> The CCK-8 assay shows that MTCH2 overexpression significantly enhances cell viability at 0, 24, 48, and 72 hours in T98G ce</w:t>
      </w:r>
      <w:r w:rsidRPr="00540093">
        <w:t xml:space="preserve">lls. (D) The colony formation assay demonstrates that MTCH2 overexpression significantly increases the number of colonies in T98G cells compared to the control group. (E) </w:t>
      </w:r>
      <w:proofErr w:type="spellStart"/>
      <w:r w:rsidRPr="00540093">
        <w:t>Transwell</w:t>
      </w:r>
      <w:proofErr w:type="spellEnd"/>
      <w:r w:rsidRPr="00540093">
        <w:t xml:space="preserve"> migration and invasion assays show that MTCH2 overexpressi</w:t>
      </w:r>
      <w:r w:rsidRPr="004F2189">
        <w:t>on significantly enhances the migration and invasion.</w:t>
      </w:r>
      <w:r w:rsidR="00DE653A">
        <w:t xml:space="preserve"> </w:t>
      </w:r>
      <w:r w:rsidR="00DE653A" w:rsidRPr="00DE653A">
        <w:t>Scale bar: 100 µm.</w:t>
      </w:r>
      <w:bookmarkStart w:id="0" w:name="_GoBack"/>
      <w:bookmarkEnd w:id="0"/>
      <w:r w:rsidRPr="004F2189">
        <w:t xml:space="preserve"> *</w:t>
      </w:r>
      <w:r w:rsidRPr="004F2189">
        <w:rPr>
          <w:i/>
          <w:iCs/>
        </w:rPr>
        <w:t>p</w:t>
      </w:r>
      <w:r w:rsidRPr="004F2189">
        <w:t xml:space="preserve"> &lt; 0.05, **</w:t>
      </w:r>
      <w:r w:rsidRPr="004F2189">
        <w:rPr>
          <w:i/>
          <w:iCs/>
        </w:rPr>
        <w:t>p</w:t>
      </w:r>
      <w:r w:rsidRPr="004F2189">
        <w:t xml:space="preserve"> &lt; 0.01, ***</w:t>
      </w:r>
      <w:r w:rsidRPr="004F2189">
        <w:rPr>
          <w:i/>
          <w:iCs/>
        </w:rPr>
        <w:t xml:space="preserve">p </w:t>
      </w:r>
      <w:r w:rsidRPr="004F2189">
        <w:t>&lt; 0.001.</w:t>
      </w:r>
    </w:p>
    <w:p w14:paraId="5E756B82" w14:textId="77777777" w:rsidR="005F05A3" w:rsidRDefault="005F05A3" w:rsidP="005F05A3">
      <w:pPr>
        <w:pStyle w:val="Figurecaption"/>
      </w:pPr>
    </w:p>
    <w:p w14:paraId="59AA4DC4" w14:textId="77777777" w:rsidR="005F05A3" w:rsidRPr="004F2189" w:rsidRDefault="005F05A3" w:rsidP="005F05A3">
      <w:pPr>
        <w:pStyle w:val="Figurecaption"/>
      </w:pPr>
    </w:p>
    <w:p w14:paraId="7576357C" w14:textId="77777777" w:rsidR="005F05A3" w:rsidRPr="004F2189" w:rsidRDefault="005F05A3" w:rsidP="005F05A3">
      <w:pPr>
        <w:pStyle w:val="Figure"/>
      </w:pPr>
      <w:r w:rsidRPr="004F2189">
        <w:rPr>
          <w:noProof/>
        </w:rPr>
        <w:lastRenderedPageBreak/>
        <w:drawing>
          <wp:inline distT="0" distB="0" distL="0" distR="0" wp14:anchorId="50AE881F" wp14:editId="52A8ED3E">
            <wp:extent cx="5274310" cy="2487930"/>
            <wp:effectExtent l="0" t="0" r="2540" b="7620"/>
            <wp:docPr id="143333479" name="图片 12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33479" name="图片 12" descr="图表&#10;&#10;描述已自动生成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EDBB8" w14:textId="77777777" w:rsidR="005F05A3" w:rsidRDefault="005F05A3" w:rsidP="005F05A3">
      <w:pPr>
        <w:pStyle w:val="Figurecaption"/>
      </w:pPr>
      <w:r w:rsidRPr="005F05A3">
        <w:rPr>
          <w:b/>
        </w:rPr>
        <w:t>Supplementary Fig.</w:t>
      </w:r>
      <w:r w:rsidRPr="004F2189">
        <w:t xml:space="preserve"> </w:t>
      </w:r>
      <w:r w:rsidRPr="005F05A3">
        <w:rPr>
          <w:b/>
        </w:rPr>
        <w:t>2. The inhibitory effect of Ferrostatin-1 on ferroptosis following MTCH2 knockdown and its impact on cell viability.</w:t>
      </w:r>
      <w:r>
        <w:t xml:space="preserve"> (A)</w:t>
      </w:r>
      <w:r w:rsidRPr="004F2189">
        <w:t xml:space="preserve"> In LN229 and U87MG cells, MTCH2 knockdown significantly increased 4-HNE production, MDA levels, and lipid ROS levels. Treatment with Ferrostatin-1 (Fer-1) partially restored these ferroptosis </w:t>
      </w:r>
      <w:r w:rsidRPr="00540093">
        <w:t>markers. (B)</w:t>
      </w:r>
      <w:r w:rsidRPr="004F2189">
        <w:t xml:space="preserve"> The colony formation assay shows that MTCH2 knockdown significantly reduced colony formation in LN229 and U87MG cells, and treatment with Fer-1 partially rescued the colony formation ability. *</w:t>
      </w:r>
      <w:r w:rsidRPr="004F2189">
        <w:rPr>
          <w:i/>
          <w:iCs/>
        </w:rPr>
        <w:t xml:space="preserve">p </w:t>
      </w:r>
      <w:r w:rsidRPr="004F2189">
        <w:t>&lt; 0.05, **</w:t>
      </w:r>
      <w:r w:rsidRPr="004F2189">
        <w:rPr>
          <w:i/>
          <w:iCs/>
        </w:rPr>
        <w:t>p</w:t>
      </w:r>
      <w:r w:rsidRPr="004F2189">
        <w:t xml:space="preserve"> &lt; 0.01, ***</w:t>
      </w:r>
      <w:r w:rsidRPr="004F2189">
        <w:rPr>
          <w:i/>
          <w:iCs/>
        </w:rPr>
        <w:t xml:space="preserve">p </w:t>
      </w:r>
      <w:r w:rsidRPr="004F2189">
        <w:t>&lt; 0.001.</w:t>
      </w:r>
    </w:p>
    <w:p w14:paraId="306FFD7B" w14:textId="77777777" w:rsidR="005F05A3" w:rsidRDefault="005F05A3" w:rsidP="005F05A3">
      <w:pPr>
        <w:pStyle w:val="Figurecaption"/>
      </w:pPr>
    </w:p>
    <w:p w14:paraId="535C3724" w14:textId="77777777" w:rsidR="005F05A3" w:rsidRPr="004F2189" w:rsidRDefault="005F05A3" w:rsidP="005F05A3">
      <w:pPr>
        <w:pStyle w:val="Figurecaption"/>
      </w:pPr>
    </w:p>
    <w:p w14:paraId="13BC49A8" w14:textId="77777777" w:rsidR="005F05A3" w:rsidRPr="004F2189" w:rsidRDefault="005F05A3" w:rsidP="005F05A3">
      <w:pPr>
        <w:pStyle w:val="Figure"/>
      </w:pPr>
      <w:r w:rsidRPr="004F2189">
        <w:rPr>
          <w:noProof/>
        </w:rPr>
        <w:drawing>
          <wp:inline distT="0" distB="0" distL="0" distR="0" wp14:anchorId="35A25783" wp14:editId="30041D53">
            <wp:extent cx="5274310" cy="3319145"/>
            <wp:effectExtent l="0" t="0" r="2540" b="0"/>
            <wp:docPr id="1294848033" name="图片 2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848033" name="图片 2" descr="图示&#10;&#10;描述已自动生成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262E3" w14:textId="361E9B93" w:rsidR="005F05A3" w:rsidRPr="004F2189" w:rsidRDefault="005F05A3" w:rsidP="005F05A3">
      <w:pPr>
        <w:pStyle w:val="Figurecaption"/>
      </w:pPr>
      <w:r w:rsidRPr="005F05A3">
        <w:rPr>
          <w:b/>
        </w:rPr>
        <w:t>Supplementary Fig.</w:t>
      </w:r>
      <w:r w:rsidRPr="004F2189">
        <w:rPr>
          <w:b/>
          <w:bCs/>
        </w:rPr>
        <w:t xml:space="preserve"> 3. Analysis of METTL3, METTL14, and WTAP mRNA and protein expression levels in glioma.</w:t>
      </w:r>
      <w:r w:rsidRPr="004F2189">
        <w:t xml:space="preserve"> </w:t>
      </w:r>
      <w:r>
        <w:t>(</w:t>
      </w:r>
      <w:r w:rsidRPr="004F2189">
        <w:t>A</w:t>
      </w:r>
      <w:r>
        <w:t>–</w:t>
      </w:r>
      <w:r w:rsidRPr="004F2189">
        <w:t>C</w:t>
      </w:r>
      <w:r>
        <w:t>)</w:t>
      </w:r>
      <w:r w:rsidRPr="004F2189">
        <w:t xml:space="preserve"> </w:t>
      </w:r>
      <w:proofErr w:type="spellStart"/>
      <w:r w:rsidRPr="004F2189">
        <w:t>qRT</w:t>
      </w:r>
      <w:proofErr w:type="spellEnd"/>
      <w:r w:rsidRPr="004F2189">
        <w:t>-PCR was performed to analyze the mRNA expression levels of METTL3, METTL14, and WTAP in 30 glioma samples and their corresponding adjacent normal tissues from an internal cohort.</w:t>
      </w:r>
      <w:r>
        <w:t xml:space="preserve"> (D)</w:t>
      </w:r>
      <w:r w:rsidRPr="004F2189">
        <w:t xml:space="preserve"> Western blot was conducted to assess the protein expression levels of METTL3 in six pairs of fresh glioma tissues and their adjacent normal counterparts.</w:t>
      </w:r>
      <w:r>
        <w:t xml:space="preserve"> (E)</w:t>
      </w:r>
      <w:r w:rsidRPr="004F2189">
        <w:t xml:space="preserve"> Western blot results after shRNA-mediated knockdown of METTL14 and WTAP, showing decreased expression levels of METTL14 and WTAP.</w:t>
      </w:r>
      <w:r>
        <w:t xml:space="preserve"> (F)</w:t>
      </w:r>
      <w:r w:rsidRPr="004F2189">
        <w:t xml:space="preserve"> Western blot analysis following the overexpression of METTL14 and WTAP revealed an increase in the protein expression levels of both METTL14 and WTAP.</w:t>
      </w:r>
      <w:r w:rsidRPr="00540093" w:rsidDel="0084222A">
        <w:t xml:space="preserve"> </w:t>
      </w:r>
      <w:r w:rsidR="00E96CED" w:rsidRPr="00540093">
        <w:rPr>
          <w:rFonts w:hint="eastAsia"/>
        </w:rPr>
        <w:t>ns,</w:t>
      </w:r>
      <w:r w:rsidR="00540093">
        <w:t xml:space="preserve"> </w:t>
      </w:r>
      <w:r w:rsidR="00E96CED" w:rsidRPr="00540093">
        <w:rPr>
          <w:rFonts w:hint="eastAsia"/>
        </w:rPr>
        <w:t>n</w:t>
      </w:r>
      <w:r w:rsidR="00E96CED" w:rsidRPr="00540093">
        <w:t>o significance</w:t>
      </w:r>
      <w:r w:rsidR="00E96CED" w:rsidRPr="00540093">
        <w:rPr>
          <w:rFonts w:hint="eastAsia"/>
        </w:rPr>
        <w:t>;</w:t>
      </w:r>
      <w:r w:rsidR="00540093">
        <w:t xml:space="preserve"> </w:t>
      </w:r>
      <w:r w:rsidRPr="004F2189">
        <w:t>***</w:t>
      </w:r>
      <w:r w:rsidRPr="00540093">
        <w:t xml:space="preserve">p </w:t>
      </w:r>
      <w:r w:rsidRPr="004F2189">
        <w:t>&lt; 0.001.</w:t>
      </w:r>
    </w:p>
    <w:p w14:paraId="0E78626E" w14:textId="77777777" w:rsidR="005F05A3" w:rsidRDefault="005F05A3" w:rsidP="005F05A3">
      <w:pPr>
        <w:pStyle w:val="Text"/>
        <w:ind w:firstLine="420"/>
      </w:pPr>
    </w:p>
    <w:p w14:paraId="3B64BFC6" w14:textId="77777777" w:rsidR="005F05A3" w:rsidRPr="004F2189" w:rsidRDefault="005F05A3" w:rsidP="005F05A3">
      <w:pPr>
        <w:pStyle w:val="Text"/>
        <w:ind w:firstLine="420"/>
      </w:pPr>
    </w:p>
    <w:p w14:paraId="231DD00B" w14:textId="77777777" w:rsidR="005F05A3" w:rsidRPr="004F2189" w:rsidRDefault="005F05A3" w:rsidP="005F05A3">
      <w:pPr>
        <w:pStyle w:val="Figure"/>
      </w:pPr>
      <w:r w:rsidRPr="004F2189">
        <w:rPr>
          <w:noProof/>
        </w:rPr>
        <w:lastRenderedPageBreak/>
        <w:drawing>
          <wp:inline distT="0" distB="0" distL="0" distR="0" wp14:anchorId="28E5BFBD" wp14:editId="10F96D2F">
            <wp:extent cx="5274310" cy="2759710"/>
            <wp:effectExtent l="0" t="0" r="2540" b="2540"/>
            <wp:docPr id="400789688" name="图片 14" descr="图片包含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789688" name="图片 14" descr="图片包含 图示&#10;&#10;描述已自动生成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309EA" w14:textId="77777777" w:rsidR="005F05A3" w:rsidRPr="004F2189" w:rsidRDefault="005F05A3" w:rsidP="005F05A3">
      <w:pPr>
        <w:pStyle w:val="Figurecaption"/>
        <w:rPr>
          <w:b/>
          <w:bCs/>
        </w:rPr>
      </w:pPr>
      <w:r w:rsidRPr="005F05A3">
        <w:rPr>
          <w:b/>
        </w:rPr>
        <w:t>Supplementary Fig.</w:t>
      </w:r>
      <w:r w:rsidRPr="004F2189">
        <w:rPr>
          <w:b/>
          <w:bCs/>
        </w:rPr>
        <w:t xml:space="preserve"> 4.</w:t>
      </w:r>
      <w:r w:rsidRPr="004F2189">
        <w:t xml:space="preserve"> </w:t>
      </w:r>
      <w:r w:rsidRPr="004F2189">
        <w:rPr>
          <w:b/>
          <w:bCs/>
        </w:rPr>
        <w:t>METTL3 and YTHDF1 modulate the growth of GBM cells by upregulating the expression of MTC</w:t>
      </w:r>
      <w:r w:rsidRPr="00540093">
        <w:rPr>
          <w:b/>
          <w:bCs/>
        </w:rPr>
        <w:t>H2.</w:t>
      </w:r>
      <w:r w:rsidRPr="00540093">
        <w:t xml:space="preserve"> (</w:t>
      </w:r>
      <w:proofErr w:type="gramStart"/>
      <w:r w:rsidRPr="00540093">
        <w:t>A,B</w:t>
      </w:r>
      <w:proofErr w:type="gramEnd"/>
      <w:r w:rsidRPr="00540093">
        <w:t>)</w:t>
      </w:r>
      <w:r w:rsidRPr="004F2189">
        <w:t xml:space="preserve"> Colony formation assay was employed to evaluate the proliferative capacity of the transfected cells. *</w:t>
      </w:r>
      <w:r w:rsidRPr="004F2189">
        <w:rPr>
          <w:i/>
          <w:iCs/>
        </w:rPr>
        <w:t xml:space="preserve">p </w:t>
      </w:r>
      <w:r w:rsidRPr="004F2189">
        <w:t>&lt; 0.05, **</w:t>
      </w:r>
      <w:r w:rsidRPr="004F2189">
        <w:rPr>
          <w:i/>
          <w:iCs/>
        </w:rPr>
        <w:t>p</w:t>
      </w:r>
      <w:r w:rsidRPr="004F2189">
        <w:t xml:space="preserve"> &lt; 0.01.</w:t>
      </w:r>
    </w:p>
    <w:p w14:paraId="5A6040A1" w14:textId="77777777" w:rsidR="00A73E39" w:rsidRDefault="00A73E39">
      <w:pPr>
        <w:ind w:firstLine="420"/>
      </w:pPr>
    </w:p>
    <w:p w14:paraId="399C4C89" w14:textId="77777777" w:rsidR="005F05A3" w:rsidRDefault="005F05A3">
      <w:pPr>
        <w:ind w:firstLine="420"/>
        <w:sectPr w:rsidR="005F05A3" w:rsidSect="005F05A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134" w:right="851" w:bottom="1134" w:left="851" w:header="283" w:footer="1134" w:gutter="0"/>
          <w:cols w:space="425"/>
          <w:docGrid w:type="lines" w:linePitch="312"/>
        </w:sectPr>
      </w:pPr>
    </w:p>
    <w:p w14:paraId="3C30FAC3" w14:textId="77777777" w:rsidR="005F05A3" w:rsidRDefault="005F05A3">
      <w:pPr>
        <w:ind w:firstLine="420"/>
      </w:pPr>
    </w:p>
    <w:p w14:paraId="3E10E042" w14:textId="18EB3FBB" w:rsidR="005F05A3" w:rsidRPr="00540093" w:rsidRDefault="00B34EC2" w:rsidP="00B34EC2">
      <w:pPr>
        <w:pStyle w:val="Tablecaption"/>
        <w:spacing w:before="312" w:after="312"/>
        <w:rPr>
          <w:rFonts w:eastAsiaTheme="minorEastAsia"/>
        </w:rPr>
      </w:pPr>
      <w:r w:rsidRPr="00540093">
        <w:t>Supplementary Table 1.</w:t>
      </w:r>
      <w:r w:rsidR="00ED218F" w:rsidRPr="00540093">
        <w:rPr>
          <w:rFonts w:eastAsiaTheme="minorEastAsia" w:hint="eastAsia"/>
        </w:rPr>
        <w:t xml:space="preserve"> </w:t>
      </w:r>
      <w:r w:rsidR="00ED218F" w:rsidRPr="00540093">
        <w:rPr>
          <w:rFonts w:eastAsiaTheme="minorEastAsia"/>
        </w:rPr>
        <w:t>Reagent Information</w:t>
      </w: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2200"/>
        <w:gridCol w:w="2320"/>
        <w:gridCol w:w="3130"/>
      </w:tblGrid>
      <w:tr w:rsidR="005F05A3" w:rsidRPr="005F05A3" w14:paraId="4DCF5FFB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28782084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Antibody</w:t>
            </w:r>
          </w:p>
        </w:tc>
        <w:tc>
          <w:tcPr>
            <w:tcW w:w="2320" w:type="dxa"/>
            <w:hideMark/>
          </w:tcPr>
          <w:p w14:paraId="238427F2" w14:textId="77777777" w:rsidR="005F05A3" w:rsidRPr="005F05A3" w:rsidRDefault="005F05A3" w:rsidP="00B34EC2">
            <w:pPr>
              <w:jc w:val="center"/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Catalog Number</w:t>
            </w:r>
          </w:p>
        </w:tc>
        <w:tc>
          <w:tcPr>
            <w:tcW w:w="3130" w:type="dxa"/>
            <w:hideMark/>
          </w:tcPr>
          <w:p w14:paraId="1FFD270A" w14:textId="77777777" w:rsidR="005F05A3" w:rsidRPr="005F05A3" w:rsidRDefault="005F05A3" w:rsidP="00B34EC2">
            <w:pPr>
              <w:jc w:val="center"/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Supplier</w:t>
            </w:r>
          </w:p>
        </w:tc>
      </w:tr>
      <w:tr w:rsidR="005F05A3" w:rsidRPr="005F05A3" w14:paraId="2CB26FC9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27A2069D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MTCH2</w:t>
            </w:r>
          </w:p>
        </w:tc>
        <w:tc>
          <w:tcPr>
            <w:tcW w:w="2320" w:type="dxa"/>
            <w:hideMark/>
          </w:tcPr>
          <w:p w14:paraId="0DE47421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16888-1-AP</w:t>
            </w:r>
          </w:p>
        </w:tc>
        <w:tc>
          <w:tcPr>
            <w:tcW w:w="3130" w:type="dxa"/>
            <w:hideMark/>
          </w:tcPr>
          <w:p w14:paraId="1047C738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proofErr w:type="spellStart"/>
            <w:r w:rsidRPr="005F05A3">
              <w:rPr>
                <w:rFonts w:cs="Times New Roman"/>
              </w:rPr>
              <w:t>Proteintech</w:t>
            </w:r>
            <w:proofErr w:type="spellEnd"/>
          </w:p>
        </w:tc>
      </w:tr>
      <w:tr w:rsidR="005F05A3" w:rsidRPr="005F05A3" w14:paraId="51AB050E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54772D96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β-Actin</w:t>
            </w:r>
          </w:p>
        </w:tc>
        <w:tc>
          <w:tcPr>
            <w:tcW w:w="2320" w:type="dxa"/>
            <w:hideMark/>
          </w:tcPr>
          <w:p w14:paraId="7B1CBCD7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20536-1-AP</w:t>
            </w:r>
          </w:p>
        </w:tc>
        <w:tc>
          <w:tcPr>
            <w:tcW w:w="3130" w:type="dxa"/>
            <w:hideMark/>
          </w:tcPr>
          <w:p w14:paraId="18856CC8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proofErr w:type="spellStart"/>
            <w:r w:rsidRPr="005F05A3">
              <w:rPr>
                <w:rFonts w:cs="Times New Roman"/>
              </w:rPr>
              <w:t>Proteintech</w:t>
            </w:r>
            <w:proofErr w:type="spellEnd"/>
          </w:p>
        </w:tc>
      </w:tr>
      <w:tr w:rsidR="005F05A3" w:rsidRPr="005F05A3" w14:paraId="54063CE3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28EDC01B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GPX4</w:t>
            </w:r>
          </w:p>
        </w:tc>
        <w:tc>
          <w:tcPr>
            <w:tcW w:w="2320" w:type="dxa"/>
            <w:hideMark/>
          </w:tcPr>
          <w:p w14:paraId="43EF935D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67763-1-Ig</w:t>
            </w:r>
          </w:p>
        </w:tc>
        <w:tc>
          <w:tcPr>
            <w:tcW w:w="3130" w:type="dxa"/>
            <w:hideMark/>
          </w:tcPr>
          <w:p w14:paraId="58F54288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proofErr w:type="spellStart"/>
            <w:r w:rsidRPr="005F05A3">
              <w:rPr>
                <w:rFonts w:cs="Times New Roman"/>
              </w:rPr>
              <w:t>Proteintech</w:t>
            </w:r>
            <w:proofErr w:type="spellEnd"/>
          </w:p>
        </w:tc>
      </w:tr>
      <w:tr w:rsidR="005F05A3" w:rsidRPr="005F05A3" w14:paraId="0C47EFC6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0E5AB65F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Transferrin Receptor</w:t>
            </w:r>
          </w:p>
        </w:tc>
        <w:tc>
          <w:tcPr>
            <w:tcW w:w="2320" w:type="dxa"/>
            <w:hideMark/>
          </w:tcPr>
          <w:p w14:paraId="49130F30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ab109259</w:t>
            </w:r>
          </w:p>
        </w:tc>
        <w:tc>
          <w:tcPr>
            <w:tcW w:w="3130" w:type="dxa"/>
            <w:hideMark/>
          </w:tcPr>
          <w:p w14:paraId="7B3A7282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Abcam</w:t>
            </w:r>
          </w:p>
        </w:tc>
      </w:tr>
      <w:tr w:rsidR="005F05A3" w:rsidRPr="005F05A3" w14:paraId="5F1648A0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3EC62CDC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NOX4</w:t>
            </w:r>
          </w:p>
        </w:tc>
        <w:tc>
          <w:tcPr>
            <w:tcW w:w="2320" w:type="dxa"/>
            <w:hideMark/>
          </w:tcPr>
          <w:p w14:paraId="53B3DB06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67681-1-Ig</w:t>
            </w:r>
          </w:p>
        </w:tc>
        <w:tc>
          <w:tcPr>
            <w:tcW w:w="3130" w:type="dxa"/>
            <w:hideMark/>
          </w:tcPr>
          <w:p w14:paraId="35E64C9F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proofErr w:type="spellStart"/>
            <w:r w:rsidRPr="005F05A3">
              <w:rPr>
                <w:rFonts w:cs="Times New Roman"/>
              </w:rPr>
              <w:t>Proteintech</w:t>
            </w:r>
            <w:proofErr w:type="spellEnd"/>
          </w:p>
        </w:tc>
      </w:tr>
      <w:tr w:rsidR="005F05A3" w:rsidRPr="005F05A3" w14:paraId="53386BA0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74ED0C4C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Transferrin</w:t>
            </w:r>
          </w:p>
        </w:tc>
        <w:tc>
          <w:tcPr>
            <w:tcW w:w="2320" w:type="dxa"/>
            <w:hideMark/>
          </w:tcPr>
          <w:p w14:paraId="44FDA836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17435-1-Ig</w:t>
            </w:r>
          </w:p>
        </w:tc>
        <w:tc>
          <w:tcPr>
            <w:tcW w:w="3130" w:type="dxa"/>
            <w:hideMark/>
          </w:tcPr>
          <w:p w14:paraId="522AE8F9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proofErr w:type="spellStart"/>
            <w:r w:rsidRPr="005F05A3">
              <w:rPr>
                <w:rFonts w:cs="Times New Roman"/>
              </w:rPr>
              <w:t>Proteintech</w:t>
            </w:r>
            <w:proofErr w:type="spellEnd"/>
          </w:p>
        </w:tc>
      </w:tr>
      <w:tr w:rsidR="005F05A3" w:rsidRPr="005F05A3" w14:paraId="08FB52E8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3685CACB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FLT</w:t>
            </w:r>
          </w:p>
        </w:tc>
        <w:tc>
          <w:tcPr>
            <w:tcW w:w="2320" w:type="dxa"/>
            <w:hideMark/>
          </w:tcPr>
          <w:p w14:paraId="45C19647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20712-1-Ig</w:t>
            </w:r>
          </w:p>
        </w:tc>
        <w:tc>
          <w:tcPr>
            <w:tcW w:w="3130" w:type="dxa"/>
            <w:hideMark/>
          </w:tcPr>
          <w:p w14:paraId="2EAEF50A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proofErr w:type="spellStart"/>
            <w:r w:rsidRPr="005F05A3">
              <w:rPr>
                <w:rFonts w:cs="Times New Roman"/>
              </w:rPr>
              <w:t>Proteintech</w:t>
            </w:r>
            <w:proofErr w:type="spellEnd"/>
          </w:p>
        </w:tc>
      </w:tr>
      <w:tr w:rsidR="005F05A3" w:rsidRPr="005F05A3" w14:paraId="5D1AE237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2CA852B1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METTL3</w:t>
            </w:r>
          </w:p>
        </w:tc>
        <w:tc>
          <w:tcPr>
            <w:tcW w:w="2320" w:type="dxa"/>
            <w:hideMark/>
          </w:tcPr>
          <w:p w14:paraId="507923EC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ab195352</w:t>
            </w:r>
          </w:p>
        </w:tc>
        <w:tc>
          <w:tcPr>
            <w:tcW w:w="3130" w:type="dxa"/>
            <w:hideMark/>
          </w:tcPr>
          <w:p w14:paraId="5263E37C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Abcam</w:t>
            </w:r>
          </w:p>
        </w:tc>
      </w:tr>
      <w:tr w:rsidR="005F05A3" w:rsidRPr="005F05A3" w14:paraId="26DF18F1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6B652D79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YTHDF1</w:t>
            </w:r>
          </w:p>
        </w:tc>
        <w:tc>
          <w:tcPr>
            <w:tcW w:w="2320" w:type="dxa"/>
            <w:hideMark/>
          </w:tcPr>
          <w:p w14:paraId="238E5E77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ab220162</w:t>
            </w:r>
          </w:p>
        </w:tc>
        <w:tc>
          <w:tcPr>
            <w:tcW w:w="3130" w:type="dxa"/>
            <w:hideMark/>
          </w:tcPr>
          <w:p w14:paraId="27CAB71A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Abcam</w:t>
            </w:r>
          </w:p>
        </w:tc>
      </w:tr>
      <w:tr w:rsidR="005F05A3" w:rsidRPr="005F05A3" w14:paraId="6D0FE417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57CCADBE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Anti-rabbit-IgG</w:t>
            </w:r>
          </w:p>
        </w:tc>
        <w:tc>
          <w:tcPr>
            <w:tcW w:w="2320" w:type="dxa"/>
            <w:hideMark/>
          </w:tcPr>
          <w:p w14:paraId="623223D8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#7074</w:t>
            </w:r>
          </w:p>
        </w:tc>
        <w:tc>
          <w:tcPr>
            <w:tcW w:w="3130" w:type="dxa"/>
            <w:hideMark/>
          </w:tcPr>
          <w:p w14:paraId="3895FCCC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CST</w:t>
            </w:r>
          </w:p>
        </w:tc>
      </w:tr>
      <w:tr w:rsidR="005F05A3" w:rsidRPr="005F05A3" w14:paraId="68C7FA30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15AE3939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METTL14</w:t>
            </w:r>
          </w:p>
        </w:tc>
        <w:tc>
          <w:tcPr>
            <w:tcW w:w="2320" w:type="dxa"/>
            <w:hideMark/>
          </w:tcPr>
          <w:p w14:paraId="57D604B7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ab309096</w:t>
            </w:r>
          </w:p>
        </w:tc>
        <w:tc>
          <w:tcPr>
            <w:tcW w:w="3130" w:type="dxa"/>
            <w:hideMark/>
          </w:tcPr>
          <w:p w14:paraId="487FC57C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Abcam</w:t>
            </w:r>
          </w:p>
        </w:tc>
      </w:tr>
      <w:tr w:rsidR="005F05A3" w:rsidRPr="005F05A3" w14:paraId="61B09BFA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5AD602F7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WTAP</w:t>
            </w:r>
          </w:p>
        </w:tc>
        <w:tc>
          <w:tcPr>
            <w:tcW w:w="2320" w:type="dxa"/>
            <w:hideMark/>
          </w:tcPr>
          <w:p w14:paraId="5F3C9D6A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ab195380</w:t>
            </w:r>
          </w:p>
        </w:tc>
        <w:tc>
          <w:tcPr>
            <w:tcW w:w="3130" w:type="dxa"/>
            <w:hideMark/>
          </w:tcPr>
          <w:p w14:paraId="336FC3A0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Abcam</w:t>
            </w:r>
          </w:p>
        </w:tc>
      </w:tr>
      <w:tr w:rsidR="005F05A3" w:rsidRPr="005F05A3" w14:paraId="4B11018D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4F5CB144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Goat anti-Rabbit</w:t>
            </w:r>
          </w:p>
        </w:tc>
        <w:tc>
          <w:tcPr>
            <w:tcW w:w="2320" w:type="dxa"/>
            <w:hideMark/>
          </w:tcPr>
          <w:p w14:paraId="320969AD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NA934</w:t>
            </w:r>
          </w:p>
        </w:tc>
        <w:tc>
          <w:tcPr>
            <w:tcW w:w="3130" w:type="dxa"/>
            <w:hideMark/>
          </w:tcPr>
          <w:p w14:paraId="2E27E1DF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GE Healthcare</w:t>
            </w:r>
          </w:p>
        </w:tc>
      </w:tr>
      <w:tr w:rsidR="005F05A3" w:rsidRPr="005F05A3" w14:paraId="3EB22A33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66755A62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Anti-Mouse IgG</w:t>
            </w:r>
          </w:p>
        </w:tc>
        <w:tc>
          <w:tcPr>
            <w:tcW w:w="2320" w:type="dxa"/>
            <w:hideMark/>
          </w:tcPr>
          <w:p w14:paraId="3F194B7A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NA931</w:t>
            </w:r>
          </w:p>
        </w:tc>
        <w:tc>
          <w:tcPr>
            <w:tcW w:w="3130" w:type="dxa"/>
            <w:hideMark/>
          </w:tcPr>
          <w:p w14:paraId="4871540C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GE Healthcare</w:t>
            </w:r>
          </w:p>
        </w:tc>
      </w:tr>
      <w:tr w:rsidR="005F05A3" w:rsidRPr="005F05A3" w14:paraId="26A34756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5409B833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Anti-m6A</w:t>
            </w:r>
          </w:p>
        </w:tc>
        <w:tc>
          <w:tcPr>
            <w:tcW w:w="2320" w:type="dxa"/>
            <w:hideMark/>
          </w:tcPr>
          <w:p w14:paraId="13EC55EB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ab286164</w:t>
            </w:r>
          </w:p>
        </w:tc>
        <w:tc>
          <w:tcPr>
            <w:tcW w:w="3130" w:type="dxa"/>
            <w:hideMark/>
          </w:tcPr>
          <w:p w14:paraId="6CA8E698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Abcam</w:t>
            </w:r>
          </w:p>
        </w:tc>
      </w:tr>
      <w:tr w:rsidR="005F05A3" w:rsidRPr="005F05A3" w14:paraId="0BB9A6B4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60F47A4B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Anti-METTL3</w:t>
            </w:r>
          </w:p>
        </w:tc>
        <w:tc>
          <w:tcPr>
            <w:tcW w:w="2320" w:type="dxa"/>
            <w:hideMark/>
          </w:tcPr>
          <w:p w14:paraId="1E047719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ab195352</w:t>
            </w:r>
          </w:p>
        </w:tc>
        <w:tc>
          <w:tcPr>
            <w:tcW w:w="3130" w:type="dxa"/>
            <w:hideMark/>
          </w:tcPr>
          <w:p w14:paraId="2C59CA7B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Abcam</w:t>
            </w:r>
          </w:p>
        </w:tc>
      </w:tr>
      <w:tr w:rsidR="005F05A3" w:rsidRPr="005F05A3" w14:paraId="383F4818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6C3D0EF2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Anti-YTHDF1</w:t>
            </w:r>
          </w:p>
        </w:tc>
        <w:tc>
          <w:tcPr>
            <w:tcW w:w="2320" w:type="dxa"/>
            <w:hideMark/>
          </w:tcPr>
          <w:p w14:paraId="7D7345A8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ab252346</w:t>
            </w:r>
          </w:p>
        </w:tc>
        <w:tc>
          <w:tcPr>
            <w:tcW w:w="3130" w:type="dxa"/>
            <w:hideMark/>
          </w:tcPr>
          <w:p w14:paraId="4A444607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Abcam</w:t>
            </w:r>
          </w:p>
        </w:tc>
      </w:tr>
      <w:tr w:rsidR="005F05A3" w:rsidRPr="005F05A3" w14:paraId="35348823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6EBD9A7B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Anti-MTCH2</w:t>
            </w:r>
          </w:p>
        </w:tc>
        <w:tc>
          <w:tcPr>
            <w:tcW w:w="2320" w:type="dxa"/>
            <w:hideMark/>
          </w:tcPr>
          <w:p w14:paraId="7ADC51BF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ab227926</w:t>
            </w:r>
          </w:p>
        </w:tc>
        <w:tc>
          <w:tcPr>
            <w:tcW w:w="3130" w:type="dxa"/>
            <w:hideMark/>
          </w:tcPr>
          <w:p w14:paraId="71391055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Abcam</w:t>
            </w:r>
          </w:p>
        </w:tc>
      </w:tr>
      <w:tr w:rsidR="005F05A3" w:rsidRPr="005F05A3" w14:paraId="27F3B9B1" w14:textId="77777777" w:rsidTr="00B34EC2">
        <w:trPr>
          <w:trHeight w:val="285"/>
          <w:jc w:val="center"/>
        </w:trPr>
        <w:tc>
          <w:tcPr>
            <w:tcW w:w="2200" w:type="dxa"/>
            <w:hideMark/>
          </w:tcPr>
          <w:p w14:paraId="3B5778E9" w14:textId="77777777" w:rsidR="005F05A3" w:rsidRPr="005F05A3" w:rsidRDefault="005F05A3" w:rsidP="005F05A3">
            <w:pPr>
              <w:rPr>
                <w:rFonts w:cs="Times New Roman"/>
                <w:bCs/>
              </w:rPr>
            </w:pPr>
            <w:r w:rsidRPr="005F05A3">
              <w:rPr>
                <w:rFonts w:cs="Times New Roman"/>
                <w:bCs/>
              </w:rPr>
              <w:t>IgG</w:t>
            </w:r>
          </w:p>
        </w:tc>
        <w:tc>
          <w:tcPr>
            <w:tcW w:w="2320" w:type="dxa"/>
            <w:hideMark/>
          </w:tcPr>
          <w:p w14:paraId="25C66673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-</w:t>
            </w:r>
          </w:p>
        </w:tc>
        <w:tc>
          <w:tcPr>
            <w:tcW w:w="3130" w:type="dxa"/>
            <w:hideMark/>
          </w:tcPr>
          <w:p w14:paraId="47552185" w14:textId="77777777" w:rsidR="005F05A3" w:rsidRPr="005F05A3" w:rsidRDefault="005F05A3" w:rsidP="00B34EC2">
            <w:pPr>
              <w:jc w:val="center"/>
              <w:rPr>
                <w:rFonts w:cs="Times New Roman"/>
              </w:rPr>
            </w:pPr>
            <w:r w:rsidRPr="005F05A3">
              <w:rPr>
                <w:rFonts w:cs="Times New Roman"/>
              </w:rPr>
              <w:t>Abcam</w:t>
            </w:r>
          </w:p>
        </w:tc>
      </w:tr>
    </w:tbl>
    <w:p w14:paraId="4C2794FD" w14:textId="77777777" w:rsidR="005F05A3" w:rsidRDefault="005F05A3" w:rsidP="00B34EC2">
      <w:pPr>
        <w:pStyle w:val="Text"/>
        <w:ind w:firstLine="420"/>
      </w:pPr>
    </w:p>
    <w:p w14:paraId="258B9803" w14:textId="77777777" w:rsidR="00B34EC2" w:rsidRDefault="00B34EC2" w:rsidP="00B34EC2">
      <w:pPr>
        <w:pStyle w:val="Text"/>
        <w:ind w:firstLine="420"/>
      </w:pPr>
    </w:p>
    <w:p w14:paraId="7753665B" w14:textId="5DC79208" w:rsidR="00B34EC2" w:rsidRPr="00540093" w:rsidRDefault="00B34EC2" w:rsidP="00B34EC2">
      <w:pPr>
        <w:pStyle w:val="Tablecaption"/>
        <w:spacing w:before="312" w:after="312"/>
        <w:rPr>
          <w:rFonts w:eastAsiaTheme="minorEastAsia"/>
        </w:rPr>
      </w:pPr>
      <w:r w:rsidRPr="00540093">
        <w:t>Supplementary Table 2.</w:t>
      </w:r>
      <w:r w:rsidR="00ED218F" w:rsidRPr="00540093">
        <w:rPr>
          <w:rFonts w:eastAsiaTheme="minorEastAsia" w:hint="eastAsia"/>
        </w:rPr>
        <w:t xml:space="preserve"> </w:t>
      </w:r>
      <w:r w:rsidR="00ED218F" w:rsidRPr="00540093">
        <w:rPr>
          <w:rFonts w:eastAsiaTheme="minorEastAsia"/>
        </w:rPr>
        <w:t>Primer sequence information</w:t>
      </w: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55"/>
        <w:gridCol w:w="5811"/>
      </w:tblGrid>
      <w:tr w:rsidR="00B34EC2" w14:paraId="6138B142" w14:textId="77777777" w:rsidTr="00B34EC2">
        <w:trPr>
          <w:jc w:val="center"/>
        </w:trPr>
        <w:tc>
          <w:tcPr>
            <w:tcW w:w="1555" w:type="dxa"/>
          </w:tcPr>
          <w:p w14:paraId="558AA4E6" w14:textId="77777777" w:rsidR="00B34EC2" w:rsidRDefault="00B34EC2" w:rsidP="00670186">
            <w:r>
              <w:rPr>
                <w:rFonts w:hint="eastAsia"/>
              </w:rPr>
              <w:t>Gene</w:t>
            </w:r>
          </w:p>
        </w:tc>
        <w:tc>
          <w:tcPr>
            <w:tcW w:w="5811" w:type="dxa"/>
          </w:tcPr>
          <w:p w14:paraId="42E4DE80" w14:textId="77777777" w:rsidR="00B34EC2" w:rsidRDefault="00B34EC2" w:rsidP="00670186">
            <w:r>
              <w:t xml:space="preserve">Sequences </w:t>
            </w:r>
            <w:r>
              <w:rPr>
                <w:rFonts w:hint="eastAsia"/>
              </w:rPr>
              <w:t>(5</w:t>
            </w:r>
            <w:r>
              <w:t>’</w:t>
            </w:r>
            <w:r>
              <w:rPr>
                <w:rFonts w:hint="eastAsia"/>
              </w:rPr>
              <w:t>-3</w:t>
            </w:r>
            <w:r>
              <w:t>’</w:t>
            </w:r>
            <w:r>
              <w:rPr>
                <w:rFonts w:hint="eastAsia"/>
              </w:rPr>
              <w:t>)</w:t>
            </w:r>
          </w:p>
        </w:tc>
      </w:tr>
      <w:tr w:rsidR="00B34EC2" w14:paraId="4AD1D335" w14:textId="77777777" w:rsidTr="00B34EC2">
        <w:trPr>
          <w:jc w:val="center"/>
        </w:trPr>
        <w:tc>
          <w:tcPr>
            <w:tcW w:w="1555" w:type="dxa"/>
            <w:vMerge w:val="restart"/>
          </w:tcPr>
          <w:p w14:paraId="56F52C3C" w14:textId="77777777" w:rsidR="00B34EC2" w:rsidRDefault="00B34EC2" w:rsidP="00670186">
            <w:r>
              <w:rPr>
                <w:rFonts w:hint="eastAsia"/>
              </w:rPr>
              <w:t>MTCH2</w:t>
            </w:r>
          </w:p>
        </w:tc>
        <w:tc>
          <w:tcPr>
            <w:tcW w:w="5811" w:type="dxa"/>
          </w:tcPr>
          <w:p w14:paraId="16AECBEC" w14:textId="77777777" w:rsidR="00B34EC2" w:rsidRDefault="00B34EC2" w:rsidP="00670186">
            <w:r>
              <w:rPr>
                <w:rFonts w:hint="eastAsia"/>
              </w:rPr>
              <w:t>Forward:</w:t>
            </w:r>
            <w:r w:rsidRPr="00EE512C">
              <w:rPr>
                <w:rFonts w:ascii="Cambria" w:hAnsi="Cambria"/>
                <w:color w:val="212121"/>
                <w:sz w:val="30"/>
                <w:szCs w:val="30"/>
                <w:shd w:val="clear" w:color="auto" w:fill="FFFFFF"/>
              </w:rPr>
              <w:t xml:space="preserve"> </w:t>
            </w:r>
            <w:r w:rsidRPr="00EE512C">
              <w:t>CATGTACGTGAAAGTGCTCATCC</w:t>
            </w:r>
          </w:p>
        </w:tc>
      </w:tr>
      <w:tr w:rsidR="00B34EC2" w14:paraId="5F5F04D7" w14:textId="77777777" w:rsidTr="00B34EC2">
        <w:trPr>
          <w:jc w:val="center"/>
        </w:trPr>
        <w:tc>
          <w:tcPr>
            <w:tcW w:w="1555" w:type="dxa"/>
            <w:vMerge/>
          </w:tcPr>
          <w:p w14:paraId="6EA0741D" w14:textId="77777777" w:rsidR="00B34EC2" w:rsidRDefault="00B34EC2" w:rsidP="00670186"/>
        </w:tc>
        <w:tc>
          <w:tcPr>
            <w:tcW w:w="5811" w:type="dxa"/>
          </w:tcPr>
          <w:p w14:paraId="1C9370E7" w14:textId="77777777" w:rsidR="00B34EC2" w:rsidRDefault="00B34EC2" w:rsidP="00670186">
            <w:r>
              <w:rPr>
                <w:rFonts w:hint="eastAsia"/>
              </w:rPr>
              <w:t>Reverse:</w:t>
            </w:r>
            <w:r w:rsidRPr="00EE512C">
              <w:rPr>
                <w:rFonts w:ascii="Cambria" w:hAnsi="Cambria"/>
                <w:color w:val="212121"/>
                <w:sz w:val="30"/>
                <w:szCs w:val="30"/>
                <w:shd w:val="clear" w:color="auto" w:fill="FFFFFF"/>
              </w:rPr>
              <w:t xml:space="preserve"> </w:t>
            </w:r>
            <w:r w:rsidRPr="00EE512C">
              <w:t>TCACTCTCCTGGTAATGCTGT</w:t>
            </w:r>
          </w:p>
        </w:tc>
      </w:tr>
      <w:tr w:rsidR="00B34EC2" w14:paraId="661493E6" w14:textId="77777777" w:rsidTr="00B34EC2">
        <w:trPr>
          <w:jc w:val="center"/>
        </w:trPr>
        <w:tc>
          <w:tcPr>
            <w:tcW w:w="1555" w:type="dxa"/>
            <w:vMerge w:val="restart"/>
          </w:tcPr>
          <w:p w14:paraId="5B498B6A" w14:textId="77777777" w:rsidR="00B34EC2" w:rsidRDefault="00B34EC2" w:rsidP="00670186">
            <w:r>
              <w:rPr>
                <w:rFonts w:hint="eastAsia"/>
              </w:rPr>
              <w:t>METTL3</w:t>
            </w:r>
          </w:p>
        </w:tc>
        <w:tc>
          <w:tcPr>
            <w:tcW w:w="5811" w:type="dxa"/>
          </w:tcPr>
          <w:p w14:paraId="2F763D25" w14:textId="77777777" w:rsidR="00B34EC2" w:rsidRDefault="00B34EC2" w:rsidP="00670186">
            <w:r w:rsidRPr="00DE408E">
              <w:t>Forward: TTGTCTCCAACCTTCCGTAGT</w:t>
            </w:r>
          </w:p>
        </w:tc>
      </w:tr>
      <w:tr w:rsidR="00B34EC2" w14:paraId="006FC238" w14:textId="77777777" w:rsidTr="00B34EC2">
        <w:trPr>
          <w:jc w:val="center"/>
        </w:trPr>
        <w:tc>
          <w:tcPr>
            <w:tcW w:w="1555" w:type="dxa"/>
            <w:vMerge/>
          </w:tcPr>
          <w:p w14:paraId="3E7AC821" w14:textId="77777777" w:rsidR="00B34EC2" w:rsidRDefault="00B34EC2" w:rsidP="00670186"/>
        </w:tc>
        <w:tc>
          <w:tcPr>
            <w:tcW w:w="5811" w:type="dxa"/>
          </w:tcPr>
          <w:p w14:paraId="075C7135" w14:textId="77777777" w:rsidR="00B34EC2" w:rsidRDefault="00B34EC2" w:rsidP="00670186">
            <w:r w:rsidRPr="00DE408E">
              <w:t>Reverse: CCAGATCAGAGAGGTGGTGTAG</w:t>
            </w:r>
          </w:p>
        </w:tc>
      </w:tr>
      <w:tr w:rsidR="00B34EC2" w14:paraId="31EBC454" w14:textId="77777777" w:rsidTr="00B34EC2">
        <w:trPr>
          <w:jc w:val="center"/>
        </w:trPr>
        <w:tc>
          <w:tcPr>
            <w:tcW w:w="1555" w:type="dxa"/>
            <w:vMerge w:val="restart"/>
          </w:tcPr>
          <w:p w14:paraId="5A7A8827" w14:textId="77777777" w:rsidR="00B34EC2" w:rsidRDefault="00B34EC2" w:rsidP="00670186">
            <w:r>
              <w:rPr>
                <w:rFonts w:hint="eastAsia"/>
              </w:rPr>
              <w:t>YTHDF1</w:t>
            </w:r>
          </w:p>
        </w:tc>
        <w:tc>
          <w:tcPr>
            <w:tcW w:w="5811" w:type="dxa"/>
          </w:tcPr>
          <w:p w14:paraId="29C627A6" w14:textId="77777777" w:rsidR="00B34EC2" w:rsidRPr="00DE408E" w:rsidRDefault="00B34EC2" w:rsidP="00670186">
            <w:r>
              <w:rPr>
                <w:rFonts w:hint="eastAsia"/>
              </w:rPr>
              <w:t>Forward:</w:t>
            </w:r>
            <w:r w:rsidRPr="001F41E8">
              <w:rPr>
                <w:rFonts w:ascii="Cambria" w:hAnsi="Cambria"/>
                <w:color w:val="212121"/>
                <w:shd w:val="clear" w:color="auto" w:fill="FFFCF0"/>
              </w:rPr>
              <w:t xml:space="preserve"> </w:t>
            </w:r>
            <w:r w:rsidRPr="001F41E8">
              <w:t>GACGACATCCACCGCTCCATTAAG</w:t>
            </w:r>
          </w:p>
        </w:tc>
      </w:tr>
      <w:tr w:rsidR="00B34EC2" w14:paraId="0FBB6484" w14:textId="77777777" w:rsidTr="00B34EC2">
        <w:trPr>
          <w:jc w:val="center"/>
        </w:trPr>
        <w:tc>
          <w:tcPr>
            <w:tcW w:w="1555" w:type="dxa"/>
            <w:vMerge/>
          </w:tcPr>
          <w:p w14:paraId="3CD786C2" w14:textId="77777777" w:rsidR="00B34EC2" w:rsidRDefault="00B34EC2" w:rsidP="00670186"/>
        </w:tc>
        <w:tc>
          <w:tcPr>
            <w:tcW w:w="5811" w:type="dxa"/>
          </w:tcPr>
          <w:p w14:paraId="33599BD1" w14:textId="77777777" w:rsidR="00B34EC2" w:rsidRPr="00DE408E" w:rsidRDefault="00B34EC2" w:rsidP="00670186">
            <w:r w:rsidRPr="00DE408E">
              <w:t>Reverse:</w:t>
            </w:r>
            <w:r w:rsidRPr="001F41E8">
              <w:rPr>
                <w:rFonts w:ascii="Cambria" w:hAnsi="Cambria"/>
                <w:color w:val="212121"/>
                <w:shd w:val="clear" w:color="auto" w:fill="FFFCF0"/>
              </w:rPr>
              <w:t xml:space="preserve"> </w:t>
            </w:r>
            <w:r w:rsidRPr="001F41E8">
              <w:t>CCCACTCCCATTGACGCTGAAG</w:t>
            </w:r>
          </w:p>
        </w:tc>
      </w:tr>
    </w:tbl>
    <w:p w14:paraId="230BC949" w14:textId="77777777" w:rsidR="00B34EC2" w:rsidRDefault="00B34EC2" w:rsidP="00B34EC2">
      <w:pPr>
        <w:pStyle w:val="Text"/>
        <w:ind w:firstLine="420"/>
      </w:pPr>
    </w:p>
    <w:sectPr w:rsidR="00B34EC2" w:rsidSect="005F05A3">
      <w:pgSz w:w="11906" w:h="16838"/>
      <w:pgMar w:top="1134" w:right="851" w:bottom="1134" w:left="851" w:header="283" w:footer="1134" w:gutter="0"/>
      <w:cols w:space="425"/>
      <w:docGrid w:type="lines" w:linePitch="312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66752348" w16cex:dateUtc="2025-01-14T16:04:00Z"/>
  <w16cex:commentExtensible w16cex:durableId="1E988B34" w16cex:dateUtc="2025-01-14T16:03:00Z"/>
  <w16cex:commentExtensible w16cex:durableId="4AC9AAC7" w16cex:dateUtc="2025-01-14T16:03:00Z"/>
  <w16cex:commentExtensible w16cex:durableId="6FEBA8E5" w16cex:dateUtc="2025-01-14T16:01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94484B8" w14:textId="77777777" w:rsidR="00757E67" w:rsidRDefault="00757E67" w:rsidP="005F05A3">
      <w:pPr>
        <w:ind w:firstLine="420"/>
      </w:pPr>
      <w:r>
        <w:separator/>
      </w:r>
    </w:p>
  </w:endnote>
  <w:endnote w:type="continuationSeparator" w:id="0">
    <w:p w14:paraId="5B52ADFA" w14:textId="77777777" w:rsidR="00757E67" w:rsidRDefault="00757E67" w:rsidP="005F05A3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NimbusRomNo9L">
    <w:altName w:val="Times New Roman"/>
    <w:charset w:val="00"/>
    <w:family w:val="auto"/>
    <w:pitch w:val="variable"/>
    <w:sig w:usb0="00000287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5F20E1E" w14:textId="77777777" w:rsidR="005F05A3" w:rsidRDefault="005F05A3">
    <w:pPr>
      <w:pStyle w:val="a6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8F7BE3" w14:textId="77777777" w:rsidR="005F05A3" w:rsidRDefault="005F05A3">
    <w:pPr>
      <w:pStyle w:val="a6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F5CB44" w14:textId="77777777" w:rsidR="005F05A3" w:rsidRDefault="005F05A3">
    <w:pPr>
      <w:pStyle w:val="a6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F946F9" w14:textId="77777777" w:rsidR="00757E67" w:rsidRDefault="00757E67" w:rsidP="005F05A3">
      <w:pPr>
        <w:ind w:firstLine="420"/>
      </w:pPr>
      <w:r>
        <w:separator/>
      </w:r>
    </w:p>
  </w:footnote>
  <w:footnote w:type="continuationSeparator" w:id="0">
    <w:p w14:paraId="47F4C95C" w14:textId="77777777" w:rsidR="00757E67" w:rsidRDefault="00757E67" w:rsidP="005F05A3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F427F5" w14:textId="77777777" w:rsidR="005F05A3" w:rsidRDefault="005F05A3">
    <w:pPr>
      <w:pStyle w:val="a4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A932F8" w14:textId="77777777" w:rsidR="005F05A3" w:rsidRPr="005F05A3" w:rsidRDefault="005F05A3" w:rsidP="005F05A3">
    <w:pPr>
      <w:pStyle w:val="a4"/>
      <w:pBdr>
        <w:bottom w:val="none" w:sz="0" w:space="0" w:color="auto"/>
      </w:pBdr>
      <w:ind w:firstLine="360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C02D063" wp14:editId="43015529">
          <wp:simplePos x="0" y="0"/>
          <wp:positionH relativeFrom="margin">
            <wp:align>left</wp:align>
          </wp:positionH>
          <wp:positionV relativeFrom="paragraph">
            <wp:posOffset>136287</wp:posOffset>
          </wp:positionV>
          <wp:extent cx="1286751" cy="403200"/>
          <wp:effectExtent l="0" t="0" r="0" b="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bl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6751" cy="4032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7E6709" w14:textId="77777777" w:rsidR="005F05A3" w:rsidRDefault="005F05A3">
    <w:pPr>
      <w:pStyle w:val="a4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661A69"/>
    <w:multiLevelType w:val="multilevel"/>
    <w:tmpl w:val="B7664590"/>
    <w:lvl w:ilvl="0">
      <w:start w:val="1"/>
      <w:numFmt w:val="decimal"/>
      <w:lvlRestart w:val="0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7B2173DC"/>
    <w:multiLevelType w:val="hybridMultilevel"/>
    <w:tmpl w:val="184EDD5C"/>
    <w:lvl w:ilvl="0" w:tplc="6C4ADA66">
      <w:start w:val="1"/>
      <w:numFmt w:val="decimal"/>
      <w:lvlRestart w:val="0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1"/>
  </w:num>
  <w:num w:numId="13">
    <w:abstractNumId w:val="0"/>
  </w:num>
  <w:num w:numId="14">
    <w:abstractNumId w:val="2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49BF"/>
    <w:rsid w:val="00000152"/>
    <w:rsid w:val="001B4B87"/>
    <w:rsid w:val="00463765"/>
    <w:rsid w:val="00540093"/>
    <w:rsid w:val="00571281"/>
    <w:rsid w:val="005C2315"/>
    <w:rsid w:val="005F05A3"/>
    <w:rsid w:val="0066128C"/>
    <w:rsid w:val="00701096"/>
    <w:rsid w:val="00757E67"/>
    <w:rsid w:val="007863C5"/>
    <w:rsid w:val="0080688F"/>
    <w:rsid w:val="00825ADE"/>
    <w:rsid w:val="008349BF"/>
    <w:rsid w:val="00973D2F"/>
    <w:rsid w:val="00A73E39"/>
    <w:rsid w:val="00A74568"/>
    <w:rsid w:val="00AE3184"/>
    <w:rsid w:val="00B34EC2"/>
    <w:rsid w:val="00B41233"/>
    <w:rsid w:val="00B81A73"/>
    <w:rsid w:val="00B94AFE"/>
    <w:rsid w:val="00C92D0C"/>
    <w:rsid w:val="00DB5C28"/>
    <w:rsid w:val="00DE653A"/>
    <w:rsid w:val="00E00D6A"/>
    <w:rsid w:val="00E12072"/>
    <w:rsid w:val="00E96CED"/>
    <w:rsid w:val="00ED218F"/>
    <w:rsid w:val="00FB2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43009E75"/>
  <w15:chartTrackingRefBased/>
  <w15:docId w15:val="{EF7B54F6-FCBF-4410-B514-956ECD8EFC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22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1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semiHidden/>
    <w:qFormat/>
    <w:rsid w:val="005F05A3"/>
    <w:pPr>
      <w:widowControl w:val="0"/>
      <w:suppressAutoHyphens/>
      <w:jc w:val="both"/>
    </w:pPr>
    <w:rPr>
      <w:rFonts w:ascii="Times New Roman" w:hAnsi="Times New Roman"/>
      <w:szCs w:val="21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5F05A3"/>
    <w:pPr>
      <w:keepNext/>
      <w:keepLines/>
      <w:widowControl/>
      <w:suppressAutoHyphens w:val="0"/>
      <w:adjustRightInd w:val="0"/>
      <w:snapToGrid w:val="0"/>
      <w:spacing w:before="360" w:after="360"/>
      <w:outlineLvl w:val="0"/>
    </w:pPr>
    <w:rPr>
      <w:rFonts w:eastAsia="Times New Roman" w:cs="Times New Roman"/>
      <w:b/>
      <w:bCs/>
      <w:noProof/>
      <w:color w:val="000000"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5F05A3"/>
    <w:pPr>
      <w:keepNext/>
      <w:keepLines/>
      <w:widowControl/>
      <w:suppressAutoHyphens w:val="0"/>
      <w:adjustRightInd w:val="0"/>
      <w:snapToGrid w:val="0"/>
      <w:spacing w:before="240" w:after="240"/>
      <w:outlineLvl w:val="1"/>
    </w:pPr>
    <w:rPr>
      <w:rFonts w:eastAsia="Times New Roman" w:cs="Times New Roman"/>
      <w:b/>
      <w:bCs/>
      <w:i/>
      <w:noProof/>
      <w:color w:val="000000"/>
      <w:kern w:val="0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5F05A3"/>
    <w:pPr>
      <w:keepNext/>
      <w:keepLines/>
      <w:widowControl/>
      <w:suppressAutoHyphens w:val="0"/>
      <w:adjustRightInd w:val="0"/>
      <w:snapToGrid w:val="0"/>
      <w:spacing w:before="160" w:after="160"/>
      <w:outlineLvl w:val="2"/>
    </w:pPr>
    <w:rPr>
      <w:rFonts w:eastAsia="Times New Roman" w:cs="Times New Roman"/>
      <w:bCs/>
      <w:i/>
      <w:noProof/>
      <w:color w:val="000000"/>
      <w:kern w:val="0"/>
    </w:rPr>
  </w:style>
  <w:style w:type="paragraph" w:styleId="4">
    <w:name w:val="heading 4"/>
    <w:basedOn w:val="a"/>
    <w:next w:val="a"/>
    <w:link w:val="40"/>
    <w:uiPriority w:val="9"/>
    <w:semiHidden/>
    <w:qFormat/>
    <w:rsid w:val="00B81A73"/>
    <w:pPr>
      <w:keepNext/>
      <w:keepLines/>
      <w:spacing w:before="280" w:after="290" w:line="376" w:lineRule="auto"/>
      <w:ind w:firstLine="320"/>
      <w:outlineLvl w:val="3"/>
    </w:pPr>
    <w:rPr>
      <w:rFonts w:ascii="Calibri Light" w:eastAsia="NimbusRomNo9L" w:hAnsi="Calibri Light" w:cs="NimbusRomNo9L"/>
      <w:b/>
      <w:bCs/>
      <w:kern w:val="0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qFormat/>
    <w:rsid w:val="0066128C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qFormat/>
    <w:rsid w:val="00B81A73"/>
    <w:pPr>
      <w:keepNext/>
      <w:keepLines/>
      <w:numPr>
        <w:ilvl w:val="5"/>
        <w:numId w:val="12"/>
      </w:numPr>
      <w:spacing w:before="240" w:after="64" w:line="320" w:lineRule="auto"/>
      <w:ind w:firstLine="0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qFormat/>
    <w:rsid w:val="00B81A73"/>
    <w:pPr>
      <w:keepNext/>
      <w:keepLines/>
      <w:numPr>
        <w:ilvl w:val="6"/>
        <w:numId w:val="12"/>
      </w:numPr>
      <w:spacing w:before="240" w:after="64" w:line="320" w:lineRule="auto"/>
      <w:ind w:firstLine="0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qFormat/>
    <w:rsid w:val="00B81A73"/>
    <w:pPr>
      <w:keepNext/>
      <w:keepLines/>
      <w:numPr>
        <w:ilvl w:val="7"/>
        <w:numId w:val="12"/>
      </w:numPr>
      <w:spacing w:before="240" w:after="64" w:line="320" w:lineRule="auto"/>
      <w:ind w:firstLine="0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81A73"/>
    <w:pPr>
      <w:keepNext/>
      <w:keepLines/>
      <w:numPr>
        <w:ilvl w:val="8"/>
        <w:numId w:val="12"/>
      </w:numPr>
      <w:spacing w:before="240" w:after="64" w:line="320" w:lineRule="auto"/>
      <w:ind w:firstLine="0"/>
      <w:outlineLvl w:val="8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Heading level 1 字符"/>
    <w:basedOn w:val="a0"/>
    <w:link w:val="1"/>
    <w:uiPriority w:val="9"/>
    <w:rsid w:val="005F05A3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5F05A3"/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5F05A3"/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character" w:customStyle="1" w:styleId="40">
    <w:name w:val="标题 4 字符"/>
    <w:link w:val="4"/>
    <w:uiPriority w:val="9"/>
    <w:semiHidden/>
    <w:rsid w:val="005F05A3"/>
    <w:rPr>
      <w:rFonts w:ascii="Calibri Light" w:eastAsia="NimbusRomNo9L" w:hAnsi="Calibri Light" w:cs="NimbusRomNo9L"/>
      <w:b/>
      <w:bCs/>
      <w:kern w:val="0"/>
      <w:sz w:val="28"/>
      <w:szCs w:val="28"/>
    </w:rPr>
  </w:style>
  <w:style w:type="character" w:customStyle="1" w:styleId="50">
    <w:name w:val="标题 5 字符"/>
    <w:link w:val="5"/>
    <w:uiPriority w:val="9"/>
    <w:semiHidden/>
    <w:rsid w:val="005F05A3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semiHidden/>
    <w:rsid w:val="005F05A3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0"/>
    <w:link w:val="7"/>
    <w:uiPriority w:val="9"/>
    <w:semiHidden/>
    <w:rsid w:val="005F05A3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semiHidden/>
    <w:rsid w:val="005F05A3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rsid w:val="00B81A73"/>
    <w:rPr>
      <w:rFonts w:asciiTheme="majorHAnsi" w:eastAsiaTheme="majorEastAsia" w:hAnsiTheme="majorHAnsi" w:cstheme="majorBidi"/>
      <w:szCs w:val="21"/>
    </w:rPr>
  </w:style>
  <w:style w:type="paragraph" w:customStyle="1" w:styleId="Abstract">
    <w:name w:val="Abstract"/>
    <w:next w:val="a"/>
    <w:uiPriority w:val="5"/>
    <w:qFormat/>
    <w:rsid w:val="005F05A3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5F05A3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5F05A3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5F05A3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5F05A3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5F05A3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5F05A3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5F05A3"/>
    <w:pPr>
      <w:adjustRightInd w:val="0"/>
      <w:snapToGrid w:val="0"/>
      <w:spacing w:before="40" w:after="40"/>
      <w:ind w:left="3033" w:hangingChars="200" w:hanging="20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5F05A3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5F05A3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5F05A3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5"/>
    <w:qFormat/>
    <w:rsid w:val="005F05A3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5F05A3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iguretitle">
    <w:name w:val="Figure title"/>
    <w:uiPriority w:val="13"/>
    <w:rsid w:val="005F05A3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5F05A3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5F05A3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5F05A3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5F05A3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5F05A3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5F05A3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5F05A3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5F05A3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5F05A3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styleId="a3">
    <w:name w:val="line number"/>
    <w:aliases w:val="IMR-Line numbers"/>
    <w:uiPriority w:val="22"/>
    <w:semiHidden/>
    <w:rsid w:val="005C2315"/>
    <w:rPr>
      <w:rFonts w:ascii="Times New Roman" w:eastAsia="Times New Roman" w:hAnsi="Times New Roman" w:cs="Times New Roman"/>
      <w:sz w:val="18"/>
      <w:szCs w:val="18"/>
    </w:rPr>
  </w:style>
  <w:style w:type="paragraph" w:styleId="a4">
    <w:name w:val="header"/>
    <w:basedOn w:val="a"/>
    <w:link w:val="a5"/>
    <w:uiPriority w:val="99"/>
    <w:semiHidden/>
    <w:rsid w:val="005F05A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semiHidden/>
    <w:rsid w:val="005F05A3"/>
    <w:rPr>
      <w:rFonts w:ascii="Times New Roman" w:eastAsia="Times New Roman" w:hAnsi="Times New Roman" w:cs="Times New Roman"/>
      <w:sz w:val="18"/>
      <w:szCs w:val="18"/>
    </w:rPr>
  </w:style>
  <w:style w:type="paragraph" w:styleId="a6">
    <w:name w:val="footer"/>
    <w:basedOn w:val="a"/>
    <w:link w:val="a7"/>
    <w:uiPriority w:val="99"/>
    <w:semiHidden/>
    <w:rsid w:val="005F05A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semiHidden/>
    <w:rsid w:val="005F05A3"/>
    <w:rPr>
      <w:rFonts w:ascii="Times New Roman" w:eastAsia="Times New Roman" w:hAnsi="Times New Roman" w:cs="Times New Roman"/>
      <w:sz w:val="18"/>
      <w:szCs w:val="18"/>
    </w:rPr>
  </w:style>
  <w:style w:type="table" w:styleId="a8">
    <w:name w:val="Table Grid"/>
    <w:basedOn w:val="a1"/>
    <w:uiPriority w:val="39"/>
    <w:qFormat/>
    <w:rsid w:val="005F05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annotation reference"/>
    <w:basedOn w:val="a0"/>
    <w:uiPriority w:val="99"/>
    <w:semiHidden/>
    <w:unhideWhenUsed/>
    <w:rsid w:val="00FB2349"/>
    <w:rPr>
      <w:sz w:val="21"/>
      <w:szCs w:val="21"/>
    </w:rPr>
  </w:style>
  <w:style w:type="paragraph" w:styleId="aa">
    <w:name w:val="annotation text"/>
    <w:basedOn w:val="a"/>
    <w:link w:val="ab"/>
    <w:uiPriority w:val="99"/>
    <w:unhideWhenUsed/>
    <w:rsid w:val="00FB2349"/>
    <w:pPr>
      <w:jc w:val="left"/>
    </w:pPr>
  </w:style>
  <w:style w:type="character" w:customStyle="1" w:styleId="ab">
    <w:name w:val="批注文字 字符"/>
    <w:basedOn w:val="a0"/>
    <w:link w:val="aa"/>
    <w:uiPriority w:val="99"/>
    <w:rsid w:val="00FB2349"/>
    <w:rPr>
      <w:rFonts w:ascii="Times New Roman" w:hAnsi="Times New Roman"/>
      <w:szCs w:val="21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FB2349"/>
    <w:rPr>
      <w:b/>
      <w:bCs/>
    </w:rPr>
  </w:style>
  <w:style w:type="character" w:customStyle="1" w:styleId="ad">
    <w:name w:val="批注主题 字符"/>
    <w:basedOn w:val="ab"/>
    <w:link w:val="ac"/>
    <w:uiPriority w:val="99"/>
    <w:semiHidden/>
    <w:rsid w:val="00FB2349"/>
    <w:rPr>
      <w:rFonts w:ascii="Times New Roman" w:hAnsi="Times New Roman"/>
      <w:b/>
      <w:bCs/>
      <w:szCs w:val="21"/>
    </w:rPr>
  </w:style>
  <w:style w:type="paragraph" w:styleId="ae">
    <w:name w:val="Balloon Text"/>
    <w:basedOn w:val="a"/>
    <w:link w:val="af"/>
    <w:uiPriority w:val="99"/>
    <w:semiHidden/>
    <w:unhideWhenUsed/>
    <w:rsid w:val="00FB2349"/>
    <w:rPr>
      <w:sz w:val="18"/>
      <w:szCs w:val="18"/>
    </w:rPr>
  </w:style>
  <w:style w:type="character" w:customStyle="1" w:styleId="af">
    <w:name w:val="批注框文本 字符"/>
    <w:basedOn w:val="a0"/>
    <w:link w:val="ae"/>
    <w:uiPriority w:val="99"/>
    <w:semiHidden/>
    <w:rsid w:val="00FB2349"/>
    <w:rPr>
      <w:rFonts w:ascii="Times New Roman" w:hAnsi="Times New Roman"/>
      <w:sz w:val="18"/>
      <w:szCs w:val="18"/>
    </w:rPr>
  </w:style>
  <w:style w:type="paragraph" w:customStyle="1" w:styleId="paragraph">
    <w:name w:val="paragraph"/>
    <w:basedOn w:val="a"/>
    <w:semiHidden/>
    <w:rsid w:val="00FB2349"/>
    <w:pPr>
      <w:widowControl/>
      <w:suppressAutoHyphens w:val="0"/>
      <w:spacing w:before="100" w:beforeAutospacing="1" w:after="100" w:afterAutospacing="1"/>
      <w:jc w:val="left"/>
    </w:pPr>
    <w:rPr>
      <w:rFonts w:ascii="等线" w:eastAsia="等线" w:hAnsi="等线" w:cs="Times New Roman"/>
      <w:kern w:val="0"/>
      <w:sz w:val="24"/>
      <w:szCs w:val="24"/>
    </w:rPr>
  </w:style>
  <w:style w:type="paragraph" w:styleId="af0">
    <w:name w:val="Revision"/>
    <w:hidden/>
    <w:uiPriority w:val="99"/>
    <w:semiHidden/>
    <w:rsid w:val="00ED218F"/>
    <w:rPr>
      <w:rFonts w:ascii="Times New Roman" w:hAnsi="Times New Roman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358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36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jpg"/><Relationship Id="rId19" Type="http://schemas.microsoft.com/office/2018/08/relationships/commentsExtensible" Target="commentsExtensi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4</Pages>
  <Words>510</Words>
  <Characters>2909</Characters>
  <Application>Microsoft Office Word</Application>
  <DocSecurity>0</DocSecurity>
  <Lines>24</Lines>
  <Paragraphs>6</Paragraphs>
  <ScaleCrop>false</ScaleCrop>
  <Company/>
  <LinksUpToDate>false</LinksUpToDate>
  <CharactersWithSpaces>3413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cheryl</dc:creator>
  <cp:keywords/>
  <dc:description/>
  <cp:lastModifiedBy>Molly</cp:lastModifiedBy>
  <cp:revision>9</cp:revision>
  <dcterms:created xsi:type="dcterms:W3CDTF">2024-12-13T07:41:00Z</dcterms:created>
  <dcterms:modified xsi:type="dcterms:W3CDTF">2025-02-11T07:02:00Z</dcterms:modified>
</cp:coreProperties>
</file>